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14:paraId="4E8ABFAE" w14:textId="77777777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93EEA5" w14:textId="77777777"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70D13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14:paraId="2DFD89A4" w14:textId="6A11D246"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3F3B3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296163E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14:paraId="02E0352C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14:paraId="6E649B25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14:paraId="24A0C332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14:paraId="466D1D2C" w14:textId="1D4047ED"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F43185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bookmarkStart w:id="0" w:name="_GoBack"/>
            <w:bookmarkEnd w:id="0"/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14:paraId="6304E9D0" w14:textId="77777777"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14:paraId="04365BBA" w14:textId="77777777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BE85E5D" w14:textId="130110F7" w:rsidR="007B173F" w:rsidRPr="005C574F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6B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00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008A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23910133" w14:textId="152A6AF4" w:rsidR="009E3CCE" w:rsidRDefault="005C574F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57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3CC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="0080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CE7CA96" w14:textId="0F0311D8" w:rsidR="002679B0" w:rsidRDefault="00946AE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35393CA" w14:textId="6D789760" w:rsidR="005C574F" w:rsidRDefault="009E3CC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14:paraId="2859882C" w14:textId="77777777" w:rsidR="00A20145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9C705" w14:textId="22FC7E81" w:rsidR="002679B0" w:rsidRDefault="00A20145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г № 131-ФЗ «Об общих принципах организации местного с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амоуправления в Российской Феде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рации», Приказом Министерства финансов Российской Федерации от 01.07.2013 г. № 65-н «Об утверждении Ук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азаний о порядке применения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жетной классификации Российской Федера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ции», Законом Оренбургской обла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сти от 30.11.2005 г. № 2738/499-III-ОЗ «О межбюджетных отношениях в Оренбургской области», Уставом муниципального образования Пугачевский сельсовет Оренбургского района Оренбур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Положением о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жетном процессе в муниципальном образов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ании Пугачевский сельсовет, рас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смотрев проект бюджета муниципального образования Пугачевский сельсовет Оренбургского района Оренбургской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Совет депутатов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 Пугачев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ский сельсовет Оренбургского района Оренбургской области</w:t>
            </w:r>
          </w:p>
          <w:p w14:paraId="10E4C5CA" w14:textId="77777777" w:rsidR="00BD184F" w:rsidRPr="00BD184F" w:rsidRDefault="00BD184F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84F">
              <w:rPr>
                <w:rFonts w:ascii="Times New Roman" w:hAnsi="Times New Roman" w:cs="Times New Roman"/>
                <w:sz w:val="28"/>
                <w:szCs w:val="28"/>
              </w:rPr>
              <w:t xml:space="preserve">          РЕШИЛ:</w:t>
            </w:r>
          </w:p>
          <w:p w14:paraId="338487FD" w14:textId="05FAC791"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основные характеристики бюджета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14:paraId="7E61B1D3" w14:textId="3161A543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доходов – </w:t>
            </w:r>
            <w:r w:rsidR="000F0677" w:rsidRPr="00DC1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083C">
              <w:rPr>
                <w:rFonts w:ascii="Times New Roman" w:hAnsi="Times New Roman" w:cs="Times New Roman"/>
                <w:sz w:val="28"/>
                <w:szCs w:val="28"/>
              </w:rPr>
              <w:t>039890,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4EFDF58" w14:textId="3528C551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щий объем расходов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C5083C">
              <w:rPr>
                <w:rFonts w:ascii="Times New Roman" w:hAnsi="Times New Roman" w:cs="Times New Roman"/>
                <w:sz w:val="28"/>
                <w:szCs w:val="28"/>
              </w:rPr>
              <w:t>039890,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157F7D5" w14:textId="1F7927DB" w:rsidR="00B74760" w:rsidRPr="00B74760" w:rsidRDefault="00342657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дефицит – 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6CB5716" w14:textId="4AE84AE8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верхний предел долг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а по муниципальным гарантиям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61D89D04" w14:textId="4C8E76FB"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основные характеристики бюджета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годы в размерах:</w:t>
            </w:r>
          </w:p>
          <w:p w14:paraId="4E0C865F" w14:textId="24080AA6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прогнозируемый общий объем доходов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5862418,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7893236,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18BB97C" w14:textId="3EE707CB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общий объем р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>асходов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5862418,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условно 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утвержденные расходы – 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143198</w:t>
            </w:r>
            <w:r w:rsidR="00C508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>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7893236,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условно утвержде</w:t>
            </w:r>
            <w:r w:rsidR="00FC49D9">
              <w:rPr>
                <w:rFonts w:ascii="Times New Roman" w:hAnsi="Times New Roman" w:cs="Times New Roman"/>
                <w:sz w:val="28"/>
                <w:szCs w:val="28"/>
              </w:rPr>
              <w:t>нные расходы –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FE7">
              <w:rPr>
                <w:rFonts w:ascii="Times New Roman" w:hAnsi="Times New Roman" w:cs="Times New Roman"/>
                <w:sz w:val="28"/>
                <w:szCs w:val="28"/>
              </w:rPr>
              <w:t>272117</w:t>
            </w:r>
            <w:r w:rsidR="00C508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857B51E" w14:textId="11B4798C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3) дефицит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14:paraId="57CC2F64" w14:textId="1A07B9EA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в том числе верхний предел долга по муниципальным гарантиям 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рублей.</w:t>
            </w:r>
          </w:p>
          <w:p w14:paraId="4F42F3F5" w14:textId="7371C306"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твердить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доходов в бюджет муниципального образования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по кодам видов (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подвидов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1 к настоящему решению.</w:t>
            </w:r>
          </w:p>
          <w:p w14:paraId="5695D5AB" w14:textId="5AD63A8C" w:rsidR="00B74760" w:rsidRPr="00B74760" w:rsidRDefault="009D0968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разделам и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подразделам классификации расхо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2 к настоящему решению.</w:t>
            </w:r>
          </w:p>
          <w:p w14:paraId="4D32EEE4" w14:textId="51FD24A3" w:rsidR="00B74760" w:rsidRPr="00B74760" w:rsidRDefault="009D0968" w:rsidP="001D57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ведомственную 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руктуру расходов бюджета муници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на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3 к настоящему решению.</w:t>
            </w:r>
          </w:p>
          <w:p w14:paraId="36037EA4" w14:textId="4163C673" w:rsidR="00B74760" w:rsidRPr="00B74760" w:rsidRDefault="009D0968" w:rsidP="001E3F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по разделам, подразделам, целевым статьям (муниципальным программам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деятельности), группам и подгруппам видов расходов классификации расходов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3F1E1CF0" w14:textId="1EA12DBC" w:rsidR="00B74760" w:rsidRPr="00B74760" w:rsidRDefault="009D0968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целевым статьям (муниципальным программам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и), разделам, подразделам, груп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пам и подгруппам видов расходов классификации расходов на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5 к настоящему решению.</w:t>
            </w:r>
          </w:p>
          <w:p w14:paraId="01490858" w14:textId="27B1F7CD" w:rsidR="00B74760" w:rsidRPr="00B74760" w:rsidRDefault="009D0968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источники внутренн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его финансирования дефицита бюд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жета муниципального образования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8 к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настоящему решению.</w:t>
            </w:r>
          </w:p>
          <w:p w14:paraId="69D1D3AF" w14:textId="6A934C2D" w:rsidR="00B74760" w:rsidRPr="00B74760" w:rsidRDefault="009D0968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общий объем бюджетных ассигнований на исполнение публичных нормативных обязательств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46095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 рублей.</w:t>
            </w:r>
          </w:p>
          <w:p w14:paraId="31B2D7DD" w14:textId="63F622A1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 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субвенцию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предоставляемую из федерального бюджета  бюджету 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угачевского  сельсовета  на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ов согласно  настоящего решения: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AF8758" w14:textId="09883422" w:rsidR="00B74760" w:rsidRPr="00B74760" w:rsidRDefault="00B74760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94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>- субвенции на осуществление полномочий по первичному воинскому учету на территориях, где отсутствуют военные комиссариаты произвести в соответствии с Законом Оренбургской области от 3 июля 2006 года № 197/56–</w:t>
            </w:r>
            <w:r w:rsidR="00E943D6" w:rsidRPr="00E94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>–ОЗ «О методике распределения субвенций из областного Фонда компенсаций бюджетам муниципальных районов и городских округов на осуществление полномочий по первичному воинскому учету на территориях, где отсутствуют военные комиссариаты» и  Постановления Правительства Оренбургской области</w:t>
            </w:r>
            <w:proofErr w:type="gramEnd"/>
            <w:r w:rsidR="00E943D6" w:rsidRPr="00E943D6">
              <w:rPr>
                <w:rFonts w:ascii="Times New Roman" w:hAnsi="Times New Roman" w:cs="Times New Roman"/>
                <w:sz w:val="28"/>
                <w:szCs w:val="28"/>
              </w:rPr>
              <w:t xml:space="preserve">  «Об установлении нормативов расходов на одного работника, осуществляющего ведение первичного воинского учета в органах местного самоуправления муниципальных образований области»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1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28500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34500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944AE2E" w14:textId="77777777" w:rsidR="00E943D6" w:rsidRDefault="009D0968" w:rsidP="006C05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 Утвердить размеры субсидии, выделяемых из местного бюджета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 и на плановый период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годов: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5E818A2" w14:textId="1FA84E93" w:rsidR="00B74760" w:rsidRPr="00B74760" w:rsidRDefault="00E943D6" w:rsidP="006C05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учреждениям на финансовое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муниципального зада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ния на оказание муниципальных услуг (выполнение работ)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 в сумме </w:t>
            </w:r>
            <w:r w:rsidR="007C0494">
              <w:rPr>
                <w:rFonts w:ascii="Times New Roman" w:hAnsi="Times New Roman" w:cs="Times New Roman"/>
                <w:sz w:val="28"/>
                <w:szCs w:val="28"/>
              </w:rPr>
              <w:t>1234300,00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 и на плановый период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 в сумме </w:t>
            </w:r>
            <w:r w:rsidR="007C0494">
              <w:rPr>
                <w:rFonts w:ascii="Times New Roman" w:hAnsi="Times New Roman" w:cs="Times New Roman"/>
                <w:sz w:val="28"/>
                <w:szCs w:val="28"/>
              </w:rPr>
              <w:t>1026483,40</w:t>
            </w:r>
            <w:r w:rsidR="007C0494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рулей</w:t>
            </w:r>
            <w:r w:rsidR="00AB7D21">
              <w:t xml:space="preserve"> </w:t>
            </w:r>
            <w:r w:rsidR="00FC49D9">
              <w:rPr>
                <w:rFonts w:ascii="Times New Roman" w:hAnsi="Times New Roman" w:cs="Times New Roman"/>
                <w:sz w:val="28"/>
                <w:szCs w:val="28"/>
              </w:rPr>
              <w:t>и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494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 720977,00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, в соответствии с утвержденными условиями и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рядками. </w:t>
            </w:r>
          </w:p>
          <w:p w14:paraId="3405B447" w14:textId="4B5FCB6B" w:rsidR="00B74760" w:rsidRPr="00B74760" w:rsidRDefault="00B74760" w:rsidP="0090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программу мун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иципальных заимствований муници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6 к настоящему решению.</w:t>
            </w:r>
          </w:p>
          <w:p w14:paraId="59E1CED3" w14:textId="24E54878" w:rsidR="00B74760" w:rsidRPr="00B74760" w:rsidRDefault="00B74760" w:rsidP="0090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Установить объем расходов на обслуживание муниципального долга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055D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- 0 рублей.</w:t>
            </w:r>
          </w:p>
          <w:p w14:paraId="649090DE" w14:textId="03E14F65" w:rsidR="00B74760" w:rsidRPr="00B74760" w:rsidRDefault="00B74760" w:rsidP="00904D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программу государственных гарантий муниципального образования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в валюте Российской Федерации 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7 к настоящему решению.</w:t>
            </w:r>
          </w:p>
          <w:p w14:paraId="19128857" w14:textId="7FB4BBB4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объем бюджетных ассигнований дорожного фонда муниципального образования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размере </w:t>
            </w:r>
            <w:r w:rsidR="00E06DBB" w:rsidRPr="000015BF">
              <w:rPr>
                <w:rFonts w:ascii="Times New Roman" w:hAnsi="Times New Roman" w:cs="Times New Roman"/>
                <w:sz w:val="28"/>
                <w:szCs w:val="28"/>
              </w:rPr>
              <w:t>3254390,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A3" w:rsidRPr="00B2679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07B28" w:rsidRPr="00B26797">
              <w:rPr>
                <w:rFonts w:ascii="Times New Roman" w:hAnsi="Times New Roman" w:cs="Times New Roman"/>
                <w:sz w:val="28"/>
                <w:szCs w:val="28"/>
              </w:rPr>
              <w:t>лей, на 202</w:t>
            </w:r>
            <w:r w:rsidR="00B354E9" w:rsidRPr="00B267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4D2B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</w:t>
            </w:r>
            <w:r w:rsidR="00E06DBB" w:rsidRPr="000015BF">
              <w:rPr>
                <w:rFonts w:ascii="Times New Roman" w:hAnsi="Times New Roman" w:cs="Times New Roman"/>
                <w:sz w:val="28"/>
                <w:szCs w:val="28"/>
              </w:rPr>
              <w:t>971918,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B354E9" w:rsidRPr="00B26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4D2B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</w:t>
            </w:r>
            <w:r w:rsidR="00E06DBB" w:rsidRPr="000015BF">
              <w:rPr>
                <w:rFonts w:ascii="Times New Roman" w:hAnsi="Times New Roman" w:cs="Times New Roman"/>
                <w:sz w:val="28"/>
                <w:szCs w:val="28"/>
              </w:rPr>
              <w:t>3328836,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07B28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14:paraId="3C575E1F" w14:textId="0AAEE2EB" w:rsidR="00B26797" w:rsidRPr="00BA752E" w:rsidRDefault="00B74760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679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26797" w:rsidRPr="00BA752E">
              <w:rPr>
                <w:rFonts w:ascii="Times New Roman" w:hAnsi="Times New Roman" w:cs="Times New Roman"/>
                <w:sz w:val="28"/>
                <w:szCs w:val="28"/>
              </w:rPr>
              <w:t>Утвердить объем:</w:t>
            </w:r>
          </w:p>
          <w:p w14:paraId="454E243F" w14:textId="330239BF" w:rsidR="00B26797" w:rsidRDefault="00B26797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на  выравнивания бюджетной обеспеченности, за счет ср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343800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2948000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5790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1E074A4D" w14:textId="674A63F8" w:rsidR="00B74760" w:rsidRDefault="00B26797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 выравнивания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243FB41" w14:textId="776E2648" w:rsidR="00B26797" w:rsidRDefault="00BA752E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6797" w:rsidRPr="00B2679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трансфертов, получаемых из других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>23 год в сумме 290000,00 рублей;</w:t>
            </w:r>
          </w:p>
          <w:p w14:paraId="57BF8673" w14:textId="2F12A119" w:rsidR="000015BF" w:rsidRDefault="000015BF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15B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бюджетов, для осуществления дорожной деятельности в отношении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2330000,00 рублей;</w:t>
            </w:r>
          </w:p>
          <w:p w14:paraId="78BB12EC" w14:textId="2B7E1020" w:rsidR="00450FD9" w:rsidRDefault="00450FD9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79000,00 рублей;</w:t>
            </w:r>
          </w:p>
          <w:p w14:paraId="1E3D5493" w14:textId="3DC6C576" w:rsidR="00450FD9" w:rsidRDefault="00450FD9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поддержку мер по обеспечению сбалансированности бюджетов муниципальных образований сельских поселений для обеспечения минимального </w:t>
            </w:r>
            <w:proofErr w:type="gramStart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бюджетной сферы, источником финансирования которых являются 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66000,00 рублей;</w:t>
            </w:r>
          </w:p>
          <w:p w14:paraId="2BE9FD09" w14:textId="35FD8DD1" w:rsidR="00E06DBB" w:rsidRPr="00B26797" w:rsidRDefault="00E06DBB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2025 год в сумме 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2311500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14:paraId="37BCCBCB" w14:textId="2AC4E1BF" w:rsidR="00E2053C" w:rsidRDefault="00E2053C" w:rsidP="00BA7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. Утвердить основные параметр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первоочередных расходов  бюдже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та муниципального образования 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год: расходы на оплату труда 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750B">
              <w:rPr>
                <w:rFonts w:ascii="Times New Roman" w:hAnsi="Times New Roman" w:cs="Times New Roman"/>
                <w:sz w:val="28"/>
                <w:szCs w:val="28"/>
              </w:rPr>
              <w:t xml:space="preserve"> начислениями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75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ту коммунальных услуг в сумме 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,00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BA75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60E3093B" w14:textId="291EFBA4" w:rsidR="0082657A" w:rsidRPr="0082657A" w:rsidRDefault="009D0968" w:rsidP="00573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>. Утвердить нормативы отчислений доходов в бюджет муниципального образования Пугачевский сельсовет на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 xml:space="preserve"> годов  согласно приложению № 10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решения.</w:t>
            </w:r>
          </w:p>
          <w:p w14:paraId="116D89DF" w14:textId="39DE46A9" w:rsidR="00E2053C" w:rsidRDefault="00573CE7" w:rsidP="00510B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перечень главных </w:t>
            </w:r>
            <w:proofErr w:type="gramStart"/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>льсовет согласно приложению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решения.</w:t>
            </w:r>
          </w:p>
          <w:p w14:paraId="324EEF1B" w14:textId="08C112C2" w:rsidR="009D0968" w:rsidRDefault="009D0968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9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Утвердить межбюджетные трансферт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>ы, передаваемые из бюджета муни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Пугач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евский сель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 xml:space="preserve">совет Оренбургского района 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бургской области в бюджет муниципального образования Оренбургский район Оренбургской 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C932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9B9E5F" w14:textId="6459CA6B"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154612,60 рублей, на 2024 год в сумме 154612,60 рублей;</w:t>
            </w:r>
          </w:p>
          <w:p w14:paraId="63B760BB" w14:textId="2B231742"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бюджету муниципального района на выполнение переданных полномочий  в области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6200,00 рублей, на 2024 год в сумме 6200,00 рублей, на 2024 год в сумме 6200,00 рублей;</w:t>
            </w:r>
          </w:p>
          <w:p w14:paraId="0B7865FC" w14:textId="4BA11DAF"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бюджету муниципального района на выполнение переданных полномочий 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8000,00 рублей, на 2024 год в сумме 8000,00 рублей, на 2025 год в сумме 8000,00 рублей;</w:t>
            </w:r>
          </w:p>
          <w:p w14:paraId="4ADFBCBD" w14:textId="6BFAF9AB" w:rsidR="003C05BC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сферты бюджету муниципального района на выполнение переданных полномочий  внешнего муниципального финансового контроля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18900,00 рублей.</w:t>
            </w:r>
          </w:p>
          <w:p w14:paraId="71F95126" w14:textId="4077B4F6" w:rsidR="00DC39BB" w:rsidRPr="00DC39BB" w:rsidRDefault="00DC39BB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proofErr w:type="gramStart"/>
            <w:r w:rsidRPr="00DC39BB">
              <w:rPr>
                <w:rFonts w:ascii="Times New Roman" w:hAnsi="Times New Roman" w:cs="Times New Roman"/>
                <w:sz w:val="28"/>
                <w:szCs w:val="28"/>
              </w:rPr>
              <w:t>Выделить на уплату членских взносов в Совет (Ассоциацию муниципальных образований Оренбургской области по КБК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0113 8640190004 850  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2400,00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  <w:proofErr w:type="gramEnd"/>
          </w:p>
          <w:p w14:paraId="085D94EF" w14:textId="4B661057" w:rsidR="00171558" w:rsidRPr="00171558" w:rsidRDefault="00972997" w:rsidP="00171558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71558" w:rsidRPr="00171558">
              <w:rPr>
                <w:rFonts w:ascii="Times New Roman" w:hAnsi="Times New Roman" w:cs="Times New Roman"/>
                <w:sz w:val="28"/>
                <w:szCs w:val="28"/>
              </w:rPr>
      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      </w:r>
            <w:proofErr w:type="gramEnd"/>
          </w:p>
          <w:p w14:paraId="092757E4" w14:textId="77777777"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Обязательства, вытекающие из договоров, исполнение которых осуществляется за счет средств бюджета поселения, принятые местными учреждениями и органами местного самоуправления муниципального образования поселения сверх утвержденных им лимитов бюджетных обязательств, не подлежат оплате за счет средств бюджета поселения на 2023 год.</w:t>
            </w:r>
          </w:p>
          <w:p w14:paraId="456368BF" w14:textId="77777777"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      </w:r>
          </w:p>
          <w:p w14:paraId="11B63398" w14:textId="63664215"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Орган, осуществляющий кассовое обслуживание исполнения местного бюджета имеет право приостанавливать оплату расходов местных </w:t>
            </w:r>
            <w:r w:rsidRPr="00171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 и органов местного самоуправления муниципального образования, нарушающих установленный  администрацией муниципального образования </w:t>
            </w:r>
            <w:r w:rsidR="002A4CAA">
              <w:rPr>
                <w:rFonts w:ascii="Times New Roman" w:hAnsi="Times New Roman" w:cs="Times New Roman"/>
                <w:sz w:val="28"/>
                <w:szCs w:val="28"/>
              </w:rPr>
              <w:t>Пугаче</w:t>
            </w: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вский сельсовет  порядок учета обязательств, подлежащих исполнению за счет средств бюджета поселения.</w:t>
            </w:r>
          </w:p>
          <w:p w14:paraId="15E5F748" w14:textId="77777777" w:rsidR="00171558" w:rsidRPr="00171558" w:rsidRDefault="00171558" w:rsidP="00171558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</w:t>
            </w:r>
            <w:proofErr w:type="gramStart"/>
            <w:r w:rsidRPr="00171558">
              <w:rPr>
                <w:rFonts w:ascii="Times New Roman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171558">
              <w:rPr>
                <w:rFonts w:ascii="Times New Roman" w:hAnsi="Times New Roman" w:cs="Times New Roman"/>
                <w:sz w:val="28"/>
                <w:szCs w:val="28"/>
              </w:rPr>
              <w:t xml:space="preserve"> по иску вышестоящей организации или финансового органа администрации муниципального образования. </w:t>
            </w:r>
          </w:p>
          <w:p w14:paraId="698FA323" w14:textId="6A84BB3F" w:rsidR="002A4CAA" w:rsidRPr="002A4CAA" w:rsidRDefault="009D0968" w:rsidP="002A4CAA">
            <w:pPr>
              <w:pStyle w:val="a4"/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CAA" w:rsidRPr="002A4CAA">
              <w:rPr>
                <w:rFonts w:ascii="Times New Roman" w:hAnsi="Times New Roman" w:cs="Times New Roman"/>
                <w:sz w:val="28"/>
                <w:szCs w:val="28"/>
              </w:rPr>
              <w:t>Предоставить право администрации муниципального образования сельсовета в ходе исполнения настоящего решения  вносить изменения:</w:t>
            </w:r>
          </w:p>
          <w:p w14:paraId="46725EB0" w14:textId="77777777" w:rsidR="002A4CAA" w:rsidRPr="002A4CAA" w:rsidRDefault="002A4CAA" w:rsidP="002A4CAA">
            <w:pPr>
              <w:pStyle w:val="a4"/>
              <w:tabs>
                <w:tab w:val="left" w:pos="993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в ведомственную структуру расходов бюджета – в случае передачи полномочий по финансированию отдельных учреждений, мероприятий или видов расходов с последующим утверждением  Советом депутатов;</w:t>
            </w:r>
          </w:p>
          <w:p w14:paraId="2CA77223" w14:textId="77777777" w:rsidR="002A4CAA" w:rsidRPr="002A4CAA" w:rsidRDefault="002A4CAA" w:rsidP="002A4CAA">
            <w:pPr>
              <w:pStyle w:val="a4"/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в ведомственную  структуру расходов бюджета путем уменьшения ассигнований на сумму, израсходованную получателями  бюджетных средств незаконно или не по целевому назначению,  по предписаниям  контрольных  органов, а также по результатам проведенных ревизий  и  проверок  с  последующим утверждением Советом депутатов района;</w:t>
            </w:r>
          </w:p>
          <w:p w14:paraId="2ED26748" w14:textId="77777777" w:rsidR="002A4CAA" w:rsidRPr="002A4CAA" w:rsidRDefault="002A4CAA" w:rsidP="002A4CAA">
            <w:pPr>
              <w:pStyle w:val="a4"/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функциональную  структуру расходов   бюджета – в случае  обращения взыскания на средства бюджета по денежным обязательствам получателей бюджетных средств на основании исполнительных листов судебных органов с последующим утверждением Советом депутатов;</w:t>
            </w:r>
          </w:p>
          <w:p w14:paraId="4781ED2A" w14:textId="77777777" w:rsidR="002A4CAA" w:rsidRDefault="002A4CAA" w:rsidP="002A4CAA">
            <w:pPr>
              <w:pStyle w:val="a4"/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полученные уведомления о получении межбюджетных трансфертов от бюджетов других уровней с  последующим утверждением   Советом  депута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  <w:p w14:paraId="6553542A" w14:textId="1EE2BE3D" w:rsidR="002A4CAA" w:rsidRPr="002A4CAA" w:rsidRDefault="002A4CAA" w:rsidP="002A4CAA">
            <w:pPr>
              <w:pStyle w:val="a4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Установить, что обращение взыскания на средства бюджета по денежным обязательствам получателей бюджетных средств осуществляется на основании исполнительных листов судебных органов со счетов должников и исключительно в пределах целевых назначений в соответствии с ведомственной, функциональной и экономической структурами расходов бюджета муниципального образования.</w:t>
            </w:r>
            <w:proofErr w:type="gramEnd"/>
          </w:p>
          <w:p w14:paraId="48D0AE91" w14:textId="46484001" w:rsidR="002A4CAA" w:rsidRPr="002A4CAA" w:rsidRDefault="002A4CAA" w:rsidP="002A4CAA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не использованные на 1 января 2024 года остатки межбюджетных трансфертов, предоставленных муниципальным образованиям поселений, из областного и (или) районного бюджетов в форме субвенций, субсидий (за исключением субсидий на </w:t>
            </w:r>
            <w:proofErr w:type="spell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 муниципальной собственности) и иных межбюджетных трансфертов, в том числе межбюджетных трансфертов, передаваемых на осуществление части полномочий по решению вопросов местного значения, имеющих целевое назначение подлежат возврату</w:t>
            </w:r>
            <w:proofErr w:type="gram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областной и районный бюджет в течение первых 7 рабочих дней 2024 года. </w:t>
            </w:r>
          </w:p>
          <w:p w14:paraId="08C5CC51" w14:textId="77777777" w:rsidR="002A4CAA" w:rsidRPr="002A4CAA" w:rsidRDefault="002A4CAA" w:rsidP="002A4CAA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если принято решение о возврате указанных средств, а неиспользованный остаток межбюджетных трансфертов не перечислен в доход областного и (или) районного бюджетов, указанные средства подлежат взысканию в доход областного и (или) районного бюджетов в установленном порядке.</w:t>
            </w:r>
            <w:proofErr w:type="gramEnd"/>
          </w:p>
          <w:p w14:paraId="273BF886" w14:textId="258DC4AE" w:rsidR="002A4CAA" w:rsidRPr="002A4CAA" w:rsidRDefault="002A4CAA" w:rsidP="002A4CAA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 муниципальной собственности и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не использованные в 2023 году подлежат использованию в 2024 году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же цели. При установлении отсутствия потребности в указанных межбюджетных трансфертах в 2023 году их остаток подлежит возврату в доход областного и (или) районного бюджетов.</w:t>
            </w:r>
          </w:p>
          <w:p w14:paraId="42B9EFE4" w14:textId="680241A8" w:rsidR="002A4CAA" w:rsidRPr="002A4CAA" w:rsidRDefault="002A4CAA" w:rsidP="002A4CAA">
            <w:pPr>
              <w:pStyle w:val="a4"/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2A4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в  4 квартале 2023 года изменение лимитов бюджетных обязательств бюджета поселения не может быть произведено главным распорядителем средств бюджета поселения позднее 25 декабря 2023 года, за исключением случаев, когда изменения вносятся в связи с уменьшением ассигнований, использованных не по целевому назначению, по предписаниям уполномоченных контрольных органов. </w:t>
            </w:r>
          </w:p>
          <w:p w14:paraId="36AD2E15" w14:textId="7BA8DB76" w:rsidR="00FD2918" w:rsidRPr="00B74760" w:rsidRDefault="00FD2918" w:rsidP="002A4C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CAA" w:rsidRPr="002A4C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2657A" w:rsidRPr="002A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CAA">
              <w:rPr>
                <w:rFonts w:ascii="Times New Roman" w:hAnsi="Times New Roman" w:cs="Times New Roman"/>
                <w:sz w:val="28"/>
                <w:szCs w:val="28"/>
              </w:rPr>
              <w:t>исполнением настоящего решения возложить на постоянную</w:t>
            </w:r>
            <w:r w:rsidRPr="00FD291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по бюджетной, налоговой и финансовой политике, </w:t>
            </w:r>
            <w:r w:rsidR="002520E5" w:rsidRPr="006176E4">
              <w:rPr>
                <w:rFonts w:ascii="Times New Roman" w:hAnsi="Times New Roman" w:cs="Times New Roman"/>
                <w:sz w:val="28"/>
                <w:szCs w:val="28"/>
              </w:rPr>
              <w:t>на глав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20E5" w:rsidRPr="006176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Оренбургского района Оренбургской области </w:t>
            </w:r>
            <w:proofErr w:type="spellStart"/>
            <w:r w:rsidR="002520E5">
              <w:rPr>
                <w:rFonts w:ascii="Times New Roman" w:hAnsi="Times New Roman" w:cs="Times New Roman"/>
                <w:sz w:val="28"/>
                <w:szCs w:val="28"/>
              </w:rPr>
              <w:t>Заболотнева</w:t>
            </w:r>
            <w:proofErr w:type="spellEnd"/>
            <w:r w:rsidR="002520E5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14:paraId="6884279C" w14:textId="29FDB304" w:rsidR="00B74760" w:rsidRDefault="0082657A" w:rsidP="002A4C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0E5" w:rsidRPr="002520E5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после его </w:t>
            </w:r>
            <w:r w:rsidR="002520E5">
              <w:rPr>
                <w:rFonts w:ascii="Times New Roman" w:hAnsi="Times New Roman" w:cs="Times New Roman"/>
                <w:sz w:val="28"/>
                <w:szCs w:val="28"/>
              </w:rPr>
              <w:t>размещения на официальном сайте муниципального образования Пугачевский сельсовет Оренбургского района Оренбургской области</w:t>
            </w:r>
            <w:r w:rsidR="002520E5" w:rsidRPr="002520E5">
              <w:rPr>
                <w:rFonts w:ascii="Times New Roman" w:hAnsi="Times New Roman" w:cs="Times New Roman"/>
                <w:sz w:val="28"/>
                <w:szCs w:val="28"/>
              </w:rPr>
              <w:t>, но не ранее 1 января 2023 года.</w:t>
            </w:r>
          </w:p>
          <w:p w14:paraId="30F08D86" w14:textId="77777777"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1F34" w14:textId="77777777" w:rsidR="009A72CF" w:rsidRDefault="009A72CF" w:rsidP="009A7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88458" w14:textId="77777777" w:rsidR="00280676" w:rsidRDefault="0028067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1023D959" w14:textId="59273A04" w:rsidR="00772D64" w:rsidRDefault="00625047" w:rsidP="00802FD1">
            <w:pPr>
              <w:spacing w:after="0"/>
              <w:rPr>
                <w:sz w:val="28"/>
                <w:szCs w:val="28"/>
              </w:rPr>
            </w:pP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</w:t>
            </w:r>
            <w:r w:rsidR="002806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280676">
              <w:rPr>
                <w:rFonts w:ascii="Times New Roman" w:hAnsi="Times New Roman" w:cs="Times New Roman"/>
                <w:sz w:val="28"/>
                <w:szCs w:val="28"/>
              </w:rPr>
              <w:t>М.К.Ковегенов</w:t>
            </w:r>
            <w:proofErr w:type="spellEnd"/>
          </w:p>
          <w:p w14:paraId="4A55DB70" w14:textId="77777777" w:rsidR="00772D64" w:rsidRDefault="00772D64" w:rsidP="00802FD1">
            <w:pPr>
              <w:spacing w:after="0"/>
              <w:rPr>
                <w:sz w:val="28"/>
                <w:szCs w:val="28"/>
              </w:rPr>
            </w:pPr>
          </w:p>
          <w:p w14:paraId="5AD022B0" w14:textId="77777777" w:rsidR="003D0A8F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Разослано: бухгалтерии администрации, Аппарату Управления</w:t>
            </w:r>
            <w:r w:rsidR="003D0A8F"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7DCFB351" w14:textId="77777777" w:rsidR="003D0A8F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Оренбургской области, прокуратуре района, </w:t>
            </w:r>
            <w:proofErr w:type="gramStart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F3485" w14:textId="77777777" w:rsidR="00625047" w:rsidRPr="00802FD1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625047">
              <w:rPr>
                <w:sz w:val="28"/>
                <w:szCs w:val="28"/>
              </w:rPr>
              <w:t xml:space="preserve">             </w:t>
            </w:r>
            <w:r w:rsidR="00625047" w:rsidRPr="00EC2DC6">
              <w:rPr>
                <w:sz w:val="28"/>
                <w:szCs w:val="28"/>
              </w:rPr>
              <w:t xml:space="preserve"> </w:t>
            </w:r>
          </w:p>
          <w:p w14:paraId="5C2EA32A" w14:textId="77777777" w:rsidR="002679B0" w:rsidRPr="009F05F8" w:rsidRDefault="002679B0" w:rsidP="005C574F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4699D67" w14:textId="77777777"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15BF"/>
    <w:rsid w:val="00002B6C"/>
    <w:rsid w:val="00005186"/>
    <w:rsid w:val="00042006"/>
    <w:rsid w:val="00047279"/>
    <w:rsid w:val="00093943"/>
    <w:rsid w:val="000A02B5"/>
    <w:rsid w:val="000F0677"/>
    <w:rsid w:val="00104C01"/>
    <w:rsid w:val="00107B28"/>
    <w:rsid w:val="0013044D"/>
    <w:rsid w:val="00171558"/>
    <w:rsid w:val="00177C7D"/>
    <w:rsid w:val="00184322"/>
    <w:rsid w:val="001D579D"/>
    <w:rsid w:val="001E3FD0"/>
    <w:rsid w:val="002520E5"/>
    <w:rsid w:val="002651F8"/>
    <w:rsid w:val="002679B0"/>
    <w:rsid w:val="00280676"/>
    <w:rsid w:val="0028697A"/>
    <w:rsid w:val="002A4CAA"/>
    <w:rsid w:val="002C5CBB"/>
    <w:rsid w:val="002E181F"/>
    <w:rsid w:val="002E2FA6"/>
    <w:rsid w:val="002E4117"/>
    <w:rsid w:val="00341D01"/>
    <w:rsid w:val="00342657"/>
    <w:rsid w:val="00353896"/>
    <w:rsid w:val="00395D69"/>
    <w:rsid w:val="003C05BC"/>
    <w:rsid w:val="003D0A8F"/>
    <w:rsid w:val="003F0C9E"/>
    <w:rsid w:val="003F3B39"/>
    <w:rsid w:val="00412D9E"/>
    <w:rsid w:val="00450FD9"/>
    <w:rsid w:val="00482475"/>
    <w:rsid w:val="005008AF"/>
    <w:rsid w:val="00510BBC"/>
    <w:rsid w:val="005204E3"/>
    <w:rsid w:val="00540D00"/>
    <w:rsid w:val="005738B7"/>
    <w:rsid w:val="00573CE7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C055D"/>
    <w:rsid w:val="006C237F"/>
    <w:rsid w:val="006F51F7"/>
    <w:rsid w:val="00735541"/>
    <w:rsid w:val="0073661F"/>
    <w:rsid w:val="0074750B"/>
    <w:rsid w:val="00772D64"/>
    <w:rsid w:val="00781DCD"/>
    <w:rsid w:val="007842F6"/>
    <w:rsid w:val="00793C04"/>
    <w:rsid w:val="007A18BE"/>
    <w:rsid w:val="007A3B95"/>
    <w:rsid w:val="007B173F"/>
    <w:rsid w:val="007C0494"/>
    <w:rsid w:val="007C708F"/>
    <w:rsid w:val="00801FB6"/>
    <w:rsid w:val="00802FD1"/>
    <w:rsid w:val="00806A02"/>
    <w:rsid w:val="0082657A"/>
    <w:rsid w:val="008439AF"/>
    <w:rsid w:val="008479E9"/>
    <w:rsid w:val="008508BC"/>
    <w:rsid w:val="008916BD"/>
    <w:rsid w:val="008A2C64"/>
    <w:rsid w:val="008B0CFE"/>
    <w:rsid w:val="008D50F6"/>
    <w:rsid w:val="008F7360"/>
    <w:rsid w:val="00904D2B"/>
    <w:rsid w:val="00910EF7"/>
    <w:rsid w:val="009311F1"/>
    <w:rsid w:val="00946AEE"/>
    <w:rsid w:val="00972997"/>
    <w:rsid w:val="00973297"/>
    <w:rsid w:val="00973599"/>
    <w:rsid w:val="00987C74"/>
    <w:rsid w:val="009A5644"/>
    <w:rsid w:val="009A72CF"/>
    <w:rsid w:val="009D0968"/>
    <w:rsid w:val="009E3CCE"/>
    <w:rsid w:val="009F1D00"/>
    <w:rsid w:val="009F2CFD"/>
    <w:rsid w:val="00A20145"/>
    <w:rsid w:val="00A3605C"/>
    <w:rsid w:val="00A51197"/>
    <w:rsid w:val="00A54574"/>
    <w:rsid w:val="00A67BB2"/>
    <w:rsid w:val="00AB7D21"/>
    <w:rsid w:val="00AC17F9"/>
    <w:rsid w:val="00AD1E74"/>
    <w:rsid w:val="00B11491"/>
    <w:rsid w:val="00B25C49"/>
    <w:rsid w:val="00B26797"/>
    <w:rsid w:val="00B354E9"/>
    <w:rsid w:val="00B451F5"/>
    <w:rsid w:val="00B541F9"/>
    <w:rsid w:val="00B56078"/>
    <w:rsid w:val="00B74760"/>
    <w:rsid w:val="00B7776B"/>
    <w:rsid w:val="00BA752E"/>
    <w:rsid w:val="00BC4616"/>
    <w:rsid w:val="00BD184F"/>
    <w:rsid w:val="00C03F4E"/>
    <w:rsid w:val="00C14BDC"/>
    <w:rsid w:val="00C306CC"/>
    <w:rsid w:val="00C46288"/>
    <w:rsid w:val="00C5083C"/>
    <w:rsid w:val="00C55B06"/>
    <w:rsid w:val="00C74331"/>
    <w:rsid w:val="00C87FC8"/>
    <w:rsid w:val="00C93219"/>
    <w:rsid w:val="00D26B80"/>
    <w:rsid w:val="00D31C88"/>
    <w:rsid w:val="00D36862"/>
    <w:rsid w:val="00D47895"/>
    <w:rsid w:val="00DC1FE7"/>
    <w:rsid w:val="00DC39BB"/>
    <w:rsid w:val="00DD31C3"/>
    <w:rsid w:val="00DF15D8"/>
    <w:rsid w:val="00DF68E3"/>
    <w:rsid w:val="00E06DBB"/>
    <w:rsid w:val="00E2053C"/>
    <w:rsid w:val="00E50EA2"/>
    <w:rsid w:val="00E56DDB"/>
    <w:rsid w:val="00E576D1"/>
    <w:rsid w:val="00E725C9"/>
    <w:rsid w:val="00E846FB"/>
    <w:rsid w:val="00E93540"/>
    <w:rsid w:val="00E943D6"/>
    <w:rsid w:val="00ED4440"/>
    <w:rsid w:val="00EE0CD9"/>
    <w:rsid w:val="00F161DF"/>
    <w:rsid w:val="00F237A8"/>
    <w:rsid w:val="00F401CB"/>
    <w:rsid w:val="00F43185"/>
    <w:rsid w:val="00F70E81"/>
    <w:rsid w:val="00FC49D9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A4C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B960-9D8E-4CED-9AB3-906084A3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78</cp:revision>
  <cp:lastPrinted>2022-12-26T04:45:00Z</cp:lastPrinted>
  <dcterms:created xsi:type="dcterms:W3CDTF">2017-03-09T14:17:00Z</dcterms:created>
  <dcterms:modified xsi:type="dcterms:W3CDTF">2022-12-26T04:46:00Z</dcterms:modified>
</cp:coreProperties>
</file>